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63" w:rsidRPr="00F62E21" w:rsidRDefault="00F62E21" w:rsidP="00F62E21">
      <w:pPr>
        <w:jc w:val="center"/>
        <w:rPr>
          <w:rFonts w:ascii="Times New Roman" w:hAnsi="Times New Roman" w:cs="Times New Roman"/>
          <w:sz w:val="40"/>
          <w:szCs w:val="40"/>
        </w:rPr>
      </w:pPr>
      <w:r w:rsidRPr="00F62E21">
        <w:rPr>
          <w:rFonts w:ascii="Times New Roman" w:hAnsi="Times New Roman" w:cs="Times New Roman"/>
          <w:sz w:val="40"/>
          <w:szCs w:val="40"/>
        </w:rPr>
        <w:t>201</w:t>
      </w:r>
      <w:r w:rsidR="0056442A">
        <w:rPr>
          <w:rFonts w:ascii="Times New Roman" w:hAnsi="Times New Roman" w:cs="Times New Roman"/>
          <w:sz w:val="40"/>
          <w:szCs w:val="40"/>
        </w:rPr>
        <w:t>4</w:t>
      </w:r>
    </w:p>
    <w:p w:rsidR="00F62E21" w:rsidRDefault="00F62E21" w:rsidP="00F62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B3F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56442A">
        <w:rPr>
          <w:rFonts w:ascii="Times New Roman" w:hAnsi="Times New Roman" w:cs="Times New Roman"/>
          <w:sz w:val="28"/>
          <w:szCs w:val="28"/>
        </w:rPr>
        <w:t>2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442A">
        <w:rPr>
          <w:rFonts w:ascii="Times New Roman" w:hAnsi="Times New Roman" w:cs="Times New Roman"/>
          <w:color w:val="000000"/>
          <w:sz w:val="24"/>
          <w:szCs w:val="24"/>
          <w:lang w:val="en-US"/>
        </w:rPr>
        <w:t>E.A. DERGACHEVA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</w:pPr>
      <w:r w:rsidRPr="0056442A"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>CONTEMPORARY GLOBALIZATION AS THE PROCESS OF INTEGRATIVE</w:t>
      </w:r>
      <w:r w:rsidRPr="0056442A"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r w:rsidRPr="0056442A"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>SOCIAL-TECHNOGENIC AND BIOSPHERIC CHANGES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</w:pP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The article considers the modern globalization as a process contributing to social-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technogenic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and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naturalbiological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changes.Market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-oriented character of development of the modern global society leads to widespread on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the planet artificial substances and technologies, as they are highly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profitable.This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utilitarian-pragmatic orientation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of the world's scientific and technological development is the main cause of global transformations in society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and man, the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technosphere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and the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biosphere.Therefore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, globalization should not be seen simply as a socioeconomic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and socio-natural phenomenon, but as a wider process of integrative social, artificial and natural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changes.</w:t>
      </w:r>
    </w:p>
    <w:p w:rsidR="0056442A" w:rsidRPr="0056442A" w:rsidRDefault="0056442A" w:rsidP="005644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42A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lang w:val="en-US"/>
        </w:rPr>
        <w:t xml:space="preserve">Keywords: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globalization, social,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technogenic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and natural biological processes, biosphere,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technosphere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, society.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6442A">
        <w:rPr>
          <w:rFonts w:ascii="Times New Roman" w:hAnsi="Times New Roman" w:cs="Times New Roman"/>
          <w:color w:val="222222"/>
          <w:sz w:val="24"/>
          <w:szCs w:val="24"/>
          <w:lang w:val="en-US"/>
        </w:rPr>
        <w:t>K. KOLIN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</w:pPr>
      <w:r w:rsidRPr="0056442A"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>STRATEGIC PRIORITIES OF THE RUSSIA’S DEVELOPMENT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</w:pP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The problems of Challenges of the XXI century </w:t>
      </w:r>
      <w:proofErr w:type="spellStart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andthe</w:t>
      </w:r>
      <w:proofErr w:type="spellEnd"/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determination the strategic priorities of Russia's medium-term development in its geopolitical environment current conditions, as well as the formation of a global information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society are the main streams of the recent time. It is shown that such priorities are human issues, improving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the efficiency of public administration and the implementation of new scientific and technological revolution.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Address the most urgent tasks for each of these priority areas.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42A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lang w:val="en-US"/>
        </w:rPr>
        <w:t xml:space="preserve">Keywords: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humanitarian revolution, information warfare, information society, quality of life, science and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technology, national security, education, information security strategy.</w:t>
      </w:r>
    </w:p>
    <w:p w:rsidR="0056442A" w:rsidRPr="0056442A" w:rsidRDefault="0056442A" w:rsidP="00F62E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42A">
        <w:rPr>
          <w:rFonts w:ascii="Times New Roman" w:hAnsi="Times New Roman" w:cs="Times New Roman"/>
          <w:sz w:val="24"/>
          <w:szCs w:val="24"/>
          <w:lang w:val="en-US"/>
        </w:rPr>
        <w:t>V.M. UDOD, I.L. VILDMAN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442A">
        <w:rPr>
          <w:rFonts w:ascii="Times New Roman" w:hAnsi="Times New Roman" w:cs="Times New Roman"/>
          <w:b/>
          <w:bCs/>
          <w:sz w:val="28"/>
          <w:szCs w:val="28"/>
          <w:lang w:val="en-US"/>
        </w:rPr>
        <w:t>ENVIRONMENTAL ASSESSMENT ANTHROPOGENIC TRANSFORMATION</w:t>
      </w:r>
      <w:r w:rsidRPr="005644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6442A"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HYDROECOSYSTEM INGULETS RIVER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At the priority level we offer the complex of ecological approach for assessment of the river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Ingulets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'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hydroecosystems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basis of which is the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biocenotic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control </w:t>
      </w:r>
      <w:proofErr w:type="gram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level .</w:t>
      </w:r>
      <w:proofErr w:type="gram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This level helps to appreciate the intensity of the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processes of biosynthetic in the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hydroecosystem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and to characterize the mechanism of violation of trophic,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selfregulative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spatial relationships and others relationships in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hydroecosystems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. From which are depended their ecological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safety and safe development.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42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proofErr w:type="gramStart"/>
      <w:r w:rsidRPr="0056442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: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hydroecosystems</w:t>
      </w:r>
      <w:proofErr w:type="spellEnd"/>
      <w:proofErr w:type="gram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specialized modified factors,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biocenotic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level of control, the carrying capacity,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assimilative capacity, specialized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technogenic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56442A" w:rsidRPr="0056442A" w:rsidRDefault="0056442A" w:rsidP="00F62E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42A">
        <w:rPr>
          <w:rFonts w:ascii="Times New Roman" w:hAnsi="Times New Roman" w:cs="Times New Roman"/>
          <w:sz w:val="24"/>
          <w:szCs w:val="24"/>
          <w:lang w:val="en-US"/>
        </w:rPr>
        <w:t>Z.V.BUKO, L.A.SHIBEKA, A.V.LIKHACHEVA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442A">
        <w:rPr>
          <w:rFonts w:ascii="Times New Roman" w:hAnsi="Times New Roman" w:cs="Times New Roman"/>
          <w:b/>
          <w:bCs/>
          <w:sz w:val="24"/>
          <w:szCs w:val="24"/>
          <w:lang w:val="en-US"/>
        </w:rPr>
        <w:t>USE OF NONHYDROLYZABLE RESIDUE OF PEAT</w:t>
      </w:r>
      <w:r w:rsidRPr="005644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6442A">
        <w:rPr>
          <w:rFonts w:ascii="Times New Roman" w:hAnsi="Times New Roman" w:cs="Times New Roman"/>
          <w:b/>
          <w:bCs/>
          <w:sz w:val="24"/>
          <w:szCs w:val="24"/>
          <w:lang w:val="en-US"/>
        </w:rPr>
        <w:t>IN WASTEWATER TREATMENT PROCESS</w:t>
      </w:r>
    </w:p>
    <w:p w:rsidR="0056442A" w:rsidRPr="0056442A" w:rsidRDefault="0056442A" w:rsidP="0056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article presents the results of research aimed at the development of the purification process of washing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wastewater from electroplating heavy metal ions using a </w:t>
      </w:r>
      <w:proofErr w:type="spellStart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nonhydrolyzable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residue peat.</w:t>
      </w:r>
    </w:p>
    <w:p w:rsidR="0056442A" w:rsidRDefault="0056442A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6442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proofErr w:type="gramStart"/>
      <w:r w:rsidRPr="0056442A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:</w:t>
      </w:r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non</w:t>
      </w:r>
      <w:proofErr w:type="gram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>-hydrolyzable</w:t>
      </w:r>
      <w:proofErr w:type="spellEnd"/>
      <w:r w:rsidRPr="0056442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residue of peat, sorption, sorbent, static exchange capacity, sewage water,</w:t>
      </w:r>
      <w:r w:rsidR="00BB1E14"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degree of purification, heavy metal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sz w:val="24"/>
          <w:szCs w:val="24"/>
          <w:lang w:val="en-US"/>
        </w:rPr>
        <w:t>N.E. ZHURAVSKAYA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NANOTECHNOLOGY AND SECURITY FROM CONCRETE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BIODEGRADABILITY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advances of nanotechnology in construction.</w:t>
      </w:r>
      <w:proofErr w:type="gram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Analyzed the harmful effects of building materials and the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impact of pollution on human activity.</w:t>
      </w:r>
      <w:proofErr w:type="gram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authors proposed a hypothesis that has been confirmed by the use of a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method for protecting concrete from biodegradation.</w:t>
      </w:r>
    </w:p>
    <w:p w:rsidR="0056442A" w:rsidRPr="00BB1E14" w:rsidRDefault="00BB1E14" w:rsidP="00BB1E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: nanotechnology, biological damage, the strength of concrete, indoor climate, life safety.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B1E14">
        <w:rPr>
          <w:rFonts w:ascii="Times New Roman" w:eastAsia="TimesNewRomanPSMT" w:hAnsi="Times New Roman" w:cs="Times New Roman"/>
          <w:sz w:val="24"/>
          <w:szCs w:val="24"/>
        </w:rPr>
        <w:lastRenderedPageBreak/>
        <w:t>М</w:t>
      </w:r>
      <w:r w:rsidRPr="00BB1E14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BB1E14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E1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LISINETSKAYA, </w:t>
      </w:r>
      <w:r w:rsidRPr="00BB1E14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E14">
        <w:rPr>
          <w:rFonts w:ascii="Times New Roman" w:eastAsia="TimesNewRomanPSMT" w:hAnsi="Times New Roman" w:cs="Times New Roman"/>
          <w:sz w:val="24"/>
          <w:szCs w:val="24"/>
          <w:lang w:val="en-US"/>
        </w:rPr>
        <w:t>.V. LIKHACHEVA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</w:pPr>
      <w:r w:rsidRPr="00BB1E14"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  <w:t>REPROCESSING OF SPENT PICKLING SOLUTION TO PRODUCE</w:t>
      </w:r>
      <w:r w:rsidRPr="00BB1E14"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  <w:t>IRONCONTAINING PIGMENT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</w:pP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>The article presents the results of research aimed at processing of work-pickling solutions to obtain iron</w:t>
      </w: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>pigment masses of different colors. Investigation of their properties has shown that they meet specifications.</w:t>
      </w:r>
    </w:p>
    <w:p w:rsidR="00BB1E14" w:rsidRPr="00BB1E14" w:rsidRDefault="00BB1E14" w:rsidP="00BB1E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E14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galvanic production, etching, waste pickle liquor, recycling, </w:t>
      </w:r>
      <w:proofErr w:type="spellStart"/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>pigmental</w:t>
      </w:r>
      <w:proofErr w:type="spellEnd"/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 substance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color w:val="222222"/>
          <w:sz w:val="24"/>
          <w:szCs w:val="24"/>
          <w:lang w:val="en-US"/>
        </w:rPr>
        <w:t>L.YU. BOBROVA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STATISTICALANALYSISOFEMERGENCYANDDILAPIDATEDHOUSINGASTRAKHANREGION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Emergency and the old Fund today, perhaps the most serious problem of the Astrakhan region. The total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number of square meters is almost equal to 800 thousand. Unfortunately, in our city still preserved buildings of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1917 ,</w:t>
      </w:r>
      <w:proofErr w:type="gramEnd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some even later. These buildings today cannot be demolished, nor any restoration. As for the more recent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buildings, such as the «Khrushchev», they were presented in the 60th years of the last century. Many have «deteriorated».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Today the local authorities are unable to defer these issues to the back burner. The Federal program «Dwelling» is working in the region, but in our opinion, cannot cope... </w:t>
      </w:r>
      <w:proofErr w:type="gramStart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The Astrakhan looking for a way to deal with serious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problems.</w:t>
      </w:r>
      <w:proofErr w:type="gramEnd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Need investors, but until the result leaves much to be desired.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We can assume that if our state focused attention on this issue earlier, we're not reached the critical point.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Today the problem is solved, but very slowly. Define the criteria and technical terms of classifying residential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premises to the category of dilapidated and emergency housing. The analysis of normative-legal </w:t>
      </w:r>
      <w:proofErr w:type="gramStart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acts,</w:t>
      </w:r>
      <w:proofErr w:type="gramEnd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collected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and analyzed statistical information about the emergency and the old Fund of the Astrakhan region.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Keywords</w:t>
      </w:r>
      <w:r w:rsidRPr="00BB1E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emergency housing, old emergency Fund, Federal targeted program «</w:t>
      </w:r>
      <w:proofErr w:type="spellStart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Housing»program</w:t>
      </w:r>
      <w:proofErr w:type="spellEnd"/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«housing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for young families of the Astrakhan region», housing and communal services.</w:t>
      </w:r>
    </w:p>
    <w:p w:rsidR="00BB1E14" w:rsidRDefault="00BB1E14" w:rsidP="00F62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sz w:val="24"/>
          <w:szCs w:val="24"/>
          <w:lang w:val="en-US"/>
        </w:rPr>
        <w:t>I. YU. ABLEYEVA, L.D. PLYATSUK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ASSESSMENT OF ENVIRONMENTAL SAFETY OF AREAS SUBJECT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TO DRILLING WASTENEGATIVE INFLUENCE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article considers the ecological situation of areas subject to </w:t>
      </w:r>
      <w:proofErr w:type="spell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technogenic</w:t>
      </w:r>
      <w:proofErr w:type="spell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load during oil wells drilling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and oil production. Key aspects of the negative impact of drilling waste on the environment are summarized. The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results of toxicological evaluation of drilling sludge carried out by bioassay are presented. The waste danger degree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based on the calculated total hazard index is determined. Ways to improve the environmental safety of </w:t>
      </w:r>
      <w:proofErr w:type="spell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oilproducing</w:t>
      </w:r>
      <w:proofErr w:type="spell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areas are suggested.</w:t>
      </w:r>
    </w:p>
    <w:p w:rsidR="00BB1E14" w:rsidRPr="00BB1E14" w:rsidRDefault="00BB1E14" w:rsidP="00BB1E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drilling sludge, bioassay, heavy metals, hazard index, </w:t>
      </w:r>
      <w:proofErr w:type="gram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waste</w:t>
      </w:r>
      <w:proofErr w:type="gram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utilization.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sz w:val="24"/>
          <w:szCs w:val="24"/>
          <w:lang w:val="en-US"/>
        </w:rPr>
        <w:t>V. N. AZAROV, N.P. SADOVNIKOVA, D. P. MAMONTOV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 OF SYSTEMS DYNAMICS MODELING TO ASSESS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IMPACT OF TRANSPORT AND LANDSCAPING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AIR QUALITY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paper presents an approach to modeling the anthropogenic impact in the city. </w:t>
      </w:r>
      <w:proofErr w:type="gram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possibility of using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model to assess the impact of transport and landscaping on the level of air pollution.</w:t>
      </w:r>
      <w:proofErr w:type="gram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results represent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practical interest for the development of environmental programs of the city and the choice of methods of managing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environmental safety.</w:t>
      </w:r>
    </w:p>
    <w:p w:rsidR="00BB1E14" w:rsidRPr="00BB1E14" w:rsidRDefault="00BB1E14" w:rsidP="00BB1E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1E1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proofErr w:type="gramStart"/>
      <w:r w:rsidRPr="00BB1E1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: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simulation</w:t>
      </w:r>
      <w:proofErr w:type="spellEnd"/>
      <w:proofErr w:type="gram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modeling, air pollution, decision support, system dynamic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B1E14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E1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.I. ANTONOV, </w:t>
      </w:r>
      <w:r w:rsidRPr="00BB1E14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B1E14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BB1E14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E14">
        <w:rPr>
          <w:rFonts w:ascii="Times New Roman" w:eastAsia="TimesNewRomanPSMT" w:hAnsi="Times New Roman" w:cs="Times New Roman"/>
          <w:sz w:val="24"/>
          <w:szCs w:val="24"/>
          <w:lang w:val="en-US"/>
        </w:rPr>
        <w:t>. ZHOGOLEVA, V.I. LEDENEV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</w:pPr>
      <w:r w:rsidRPr="00BB1E14"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  <w:t>THE METHOD OF CALCULATION OF THE ACOUSTIC MODES</w:t>
      </w:r>
      <w:r w:rsidRPr="00BB1E14"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eastAsia="TimesNewRomanPSMT" w:hAnsi="Times New Roman" w:cs="Times New Roman"/>
          <w:b/>
          <w:bCs/>
          <w:sz w:val="28"/>
          <w:szCs w:val="28"/>
          <w:lang w:val="en-US"/>
        </w:rPr>
        <w:t>IN BUILDINGS WITH A CORRIDOR SYSTEM OF PLANNING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</w:pP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>A new method of calculation of noise propagation in buildings with a corridor system of planning was</w:t>
      </w: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>presented.This</w:t>
      </w:r>
      <w:proofErr w:type="spellEnd"/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 method and computer program allows estimating the calculation of the acoustic modes in buildings</w:t>
      </w: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>with a corridors system of planning objectively and developing effective noise control activities.</w:t>
      </w:r>
    </w:p>
    <w:p w:rsidR="00BB1E14" w:rsidRPr="00BB1E14" w:rsidRDefault="00BB1E14" w:rsidP="00BB1E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E14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BB1E14">
        <w:rPr>
          <w:rFonts w:ascii="Times New Roman" w:eastAsia="TimesNewRomanPSMT" w:hAnsi="Times New Roman" w:cs="Times New Roman"/>
          <w:i/>
          <w:iCs/>
          <w:sz w:val="20"/>
          <w:szCs w:val="20"/>
          <w:lang w:val="en-US"/>
        </w:rPr>
        <w:t>the noise mode, the sound field, the corridor system of planning, the noise reduction.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sz w:val="24"/>
          <w:szCs w:val="24"/>
          <w:lang w:val="en-US"/>
        </w:rPr>
        <w:t>S.A.AKHREMENKO</w:t>
      </w:r>
      <w:proofErr w:type="gramStart"/>
      <w:r w:rsidRPr="00BB1E14">
        <w:rPr>
          <w:rFonts w:ascii="Times New Roman" w:hAnsi="Times New Roman" w:cs="Times New Roman"/>
          <w:sz w:val="24"/>
          <w:szCs w:val="24"/>
          <w:lang w:val="en-US"/>
        </w:rPr>
        <w:t>,D.A.VIKTOROV</w:t>
      </w:r>
      <w:proofErr w:type="gramEnd"/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EVALUATION OF THE THERMO TECHNICAL PARAMETERS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OF THE BUILDINGS AS THE MOST IMPORTANT ELEMENT OF CREATION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BIOSPHERE COMPATIBLE HOUSING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article describes a method of the survey of buildings and structures in the operational conditions,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which ensures the possibility of estimation of heat-insulating properties of the building envelope of any thickness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and composition (walls, floors, coatings, etc.) and other heat-engineering characteristics with minimal expenses for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instrumentation.</w:t>
      </w:r>
    </w:p>
    <w:p w:rsidR="00BB1E14" w:rsidRPr="00BB1E14" w:rsidRDefault="00BB1E14" w:rsidP="00BB1E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building envelope, </w:t>
      </w:r>
      <w:proofErr w:type="spell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thermo</w:t>
      </w:r>
      <w:proofErr w:type="spell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technical characteristics, thermal protection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1E14">
        <w:rPr>
          <w:rFonts w:ascii="Times New Roman" w:hAnsi="Times New Roman" w:cs="Times New Roman"/>
          <w:sz w:val="24"/>
          <w:szCs w:val="24"/>
          <w:lang w:val="en-US"/>
        </w:rPr>
        <w:t>G.A. LEBEDINSKAJA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ON THE TRADITIONAL METHOD OF ACHIEVING ENVIRONMENTAL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RELIABILITY SOLUTIONS USED IN TERRITORALNOM PLANNING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B1E14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URBAN AGGLOMERATIONS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On the basis of experience of application of ecologically focused methodology of territorial planning,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problems and the basic </w:t>
      </w:r>
      <w:proofErr w:type="spell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ekologo</w:t>
      </w:r>
      <w:proofErr w:type="spell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-town-planning principles of the planning organization of key forms of moving –city agglomerations are considered. The technique of the planning organization of systems of the interconnected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moving taking into account </w:t>
      </w:r>
      <w:proofErr w:type="spell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ekologo</w:t>
      </w:r>
      <w:proofErr w:type="spell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-town-planning conditions is offered.</w:t>
      </w:r>
    </w:p>
    <w:p w:rsidR="00BB1E14" w:rsidRPr="00BB1E14" w:rsidRDefault="00BB1E14" w:rsidP="00B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E14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Keywords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territory organization, city agglomerations, </w:t>
      </w:r>
      <w:proofErr w:type="spellStart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ekologo</w:t>
      </w:r>
      <w:proofErr w:type="spellEnd"/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-town-planning conditions, ecological balance,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BB1E14">
        <w:rPr>
          <w:rFonts w:ascii="Times New Roman" w:hAnsi="Times New Roman" w:cs="Times New Roman"/>
          <w:i/>
          <w:iCs/>
          <w:sz w:val="20"/>
          <w:szCs w:val="20"/>
          <w:lang w:val="en-US"/>
        </w:rPr>
        <w:t>demographic capacity, sector zoning, natural framework.</w:t>
      </w:r>
    </w:p>
    <w:p w:rsidR="00BB1E14" w:rsidRPr="00BB1E14" w:rsidRDefault="00BB1E14" w:rsidP="00F62E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B1E14" w:rsidRPr="00B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1"/>
    <w:rsid w:val="002D6198"/>
    <w:rsid w:val="004D0279"/>
    <w:rsid w:val="004D4B63"/>
    <w:rsid w:val="0056442A"/>
    <w:rsid w:val="005D004A"/>
    <w:rsid w:val="00A2356F"/>
    <w:rsid w:val="00AB5B3F"/>
    <w:rsid w:val="00B42AAE"/>
    <w:rsid w:val="00BB1E14"/>
    <w:rsid w:val="00EA3AF0"/>
    <w:rsid w:val="00F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E21"/>
    <w:pPr>
      <w:keepNext/>
      <w:spacing w:after="0" w:line="240" w:lineRule="auto"/>
      <w:jc w:val="center"/>
      <w:outlineLvl w:val="0"/>
    </w:pPr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E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62E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62E21"/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rsid w:val="00F62E21"/>
    <w:rPr>
      <w:rFonts w:cs="Times New Roman"/>
    </w:rPr>
  </w:style>
  <w:style w:type="character" w:customStyle="1" w:styleId="s3">
    <w:name w:val="s3"/>
    <w:basedOn w:val="a0"/>
    <w:rsid w:val="00F62E21"/>
  </w:style>
  <w:style w:type="character" w:customStyle="1" w:styleId="s5">
    <w:name w:val="s5"/>
    <w:basedOn w:val="a0"/>
    <w:rsid w:val="00F62E21"/>
  </w:style>
  <w:style w:type="character" w:customStyle="1" w:styleId="hps">
    <w:name w:val="hps"/>
    <w:rsid w:val="00F62E21"/>
    <w:rPr>
      <w:rFonts w:cs="Times New Roman"/>
    </w:rPr>
  </w:style>
  <w:style w:type="paragraph" w:styleId="a5">
    <w:name w:val="Block Text"/>
    <w:basedOn w:val="a"/>
    <w:rsid w:val="005D004A"/>
    <w:pPr>
      <w:widowControl w:val="0"/>
      <w:spacing w:after="0" w:line="360" w:lineRule="auto"/>
      <w:ind w:left="80" w:right="200" w:firstLine="9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5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3A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тиль1 Знак"/>
    <w:link w:val="12"/>
    <w:uiPriority w:val="99"/>
    <w:locked/>
    <w:rsid w:val="00A2356F"/>
    <w:rPr>
      <w:sz w:val="24"/>
      <w:szCs w:val="20"/>
    </w:rPr>
  </w:style>
  <w:style w:type="paragraph" w:customStyle="1" w:styleId="12">
    <w:name w:val="Стиль1"/>
    <w:basedOn w:val="a"/>
    <w:link w:val="11"/>
    <w:uiPriority w:val="99"/>
    <w:rsid w:val="00A2356F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Default">
    <w:name w:val="Default"/>
    <w:rsid w:val="00AB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B5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E21"/>
    <w:pPr>
      <w:keepNext/>
      <w:spacing w:after="0" w:line="240" w:lineRule="auto"/>
      <w:jc w:val="center"/>
      <w:outlineLvl w:val="0"/>
    </w:pPr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2E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62E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62E21"/>
    <w:rPr>
      <w:rFonts w:ascii="Batang" w:eastAsia="Batang" w:hAnsi="Times New Roman" w:cs="Times New Roman"/>
      <w:b/>
      <w:sz w:val="24"/>
      <w:szCs w:val="20"/>
      <w:lang w:val="x-none" w:eastAsia="x-none"/>
    </w:rPr>
  </w:style>
  <w:style w:type="character" w:customStyle="1" w:styleId="apple-style-span">
    <w:name w:val="apple-style-span"/>
    <w:rsid w:val="00F62E21"/>
    <w:rPr>
      <w:rFonts w:cs="Times New Roman"/>
    </w:rPr>
  </w:style>
  <w:style w:type="character" w:customStyle="1" w:styleId="s3">
    <w:name w:val="s3"/>
    <w:basedOn w:val="a0"/>
    <w:rsid w:val="00F62E21"/>
  </w:style>
  <w:style w:type="character" w:customStyle="1" w:styleId="s5">
    <w:name w:val="s5"/>
    <w:basedOn w:val="a0"/>
    <w:rsid w:val="00F62E21"/>
  </w:style>
  <w:style w:type="character" w:customStyle="1" w:styleId="hps">
    <w:name w:val="hps"/>
    <w:rsid w:val="00F62E21"/>
    <w:rPr>
      <w:rFonts w:cs="Times New Roman"/>
    </w:rPr>
  </w:style>
  <w:style w:type="paragraph" w:styleId="a5">
    <w:name w:val="Block Text"/>
    <w:basedOn w:val="a"/>
    <w:rsid w:val="005D004A"/>
    <w:pPr>
      <w:widowControl w:val="0"/>
      <w:spacing w:after="0" w:line="360" w:lineRule="auto"/>
      <w:ind w:left="80" w:right="200" w:firstLine="9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5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3A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Стиль1 Знак"/>
    <w:link w:val="12"/>
    <w:uiPriority w:val="99"/>
    <w:locked/>
    <w:rsid w:val="00A2356F"/>
    <w:rPr>
      <w:sz w:val="24"/>
      <w:szCs w:val="20"/>
    </w:rPr>
  </w:style>
  <w:style w:type="paragraph" w:customStyle="1" w:styleId="12">
    <w:name w:val="Стиль1"/>
    <w:basedOn w:val="a"/>
    <w:link w:val="11"/>
    <w:uiPriority w:val="99"/>
    <w:rsid w:val="00A2356F"/>
    <w:pPr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Default">
    <w:name w:val="Default"/>
    <w:rsid w:val="00AB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B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2015-10-26T00:28:00Z</dcterms:created>
  <dcterms:modified xsi:type="dcterms:W3CDTF">2015-10-26T00:28:00Z</dcterms:modified>
</cp:coreProperties>
</file>